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verificare la coerenza tra gruppo, specie e varietà nella lista di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Garden center o dettagliante: quale gruppo di sementi merita il primo spazio in scaffale</w:t>
        </w:r>
      </w:hyperlink>
    </w:p>
    <w:p>
      <w:hyperlink r:id="rId11">
        <w:r>
          <w:rPr>
            <w:color w:val="087E75"/>
          </w:rPr>
          <w:t>Presentare ai collaboratori il percorso dalla consulenza al cliente fino alla richiesta al fornitore</w:t>
        </w:r>
      </w:hyperlink>
    </w:p>
    <w:p>
      <w:hyperlink r:id="rId12">
        <w:r>
          <w:rPr>
            <w:color w:val="087E75"/>
          </w:rPr>
          <w:t>Guida pratica per abbinare le esigenze di confezionamento ai formati indicati a catalogo</w:t>
        </w:r>
      </w:hyperlink>
    </w:p>
    <w:p>
      <w:hyperlink r:id="rId13">
        <w:r>
          <w:rPr>
            <w:color w:val="087E75"/>
          </w:rPr>
          <w:t>Pianificare la rotazione dei reparti sementi tra stagione principale e coda di stagione</w:t>
        </w:r>
      </w:hyperlink>
    </w:p>
    <w:p>
      <w:hyperlink r:id="rId14">
        <w:r>
          <w:rPr>
            <w:color w:val="087E75"/>
          </w:rPr>
          <w:t>Tabella di confronto tra specie aromatiche e microgreens per il banco vendita</w:t>
        </w:r>
      </w:hyperlink>
    </w:p>
    <w:p>
      <w:hyperlink r:id="rId15">
        <w:r>
          <w:rPr>
            <w:color w:val="087E75"/>
          </w:rPr>
          <w:t>Domande e risposte su come si comporta il fornitore dopo la verifica del preventivo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0/garden-center-o-dettagliante-quale-gruppo-di-sementi-merita-il-primo-s-15972d0d.html" TargetMode="External"/><Relationship Id="rId11" Type="http://schemas.openxmlformats.org/officeDocument/2006/relationships/hyperlink" Target="https://bulkseedsinternational-it.porkbunlead.workers.dev/ibm/bulkseedsinternational-it-10/presentare-ai-collaboratori-il-percorso-dalla-consulenza-al-cliente-fi-19433929.pptx" TargetMode="External"/><Relationship Id="rId12" Type="http://schemas.openxmlformats.org/officeDocument/2006/relationships/hyperlink" Target="https://bulkseedsinternational-it.porkbunlead.workers.dev/ibm/bulkseedsinternational-it-10/guida-pratica-per-abbinare-le-esigenze-di-confezionamento-ai-formati-i-1d377db4.pdf" TargetMode="External"/><Relationship Id="rId13" Type="http://schemas.openxmlformats.org/officeDocument/2006/relationships/hyperlink" Target="https://bulkseedsinternational-it.porkbunlead.workers.dev/ibm/bulkseedsinternational-it-10/pianificare-la-rotazione-dei-reparti-sementi-tra-stagione-principale-e-4132453c.odt" TargetMode="External"/><Relationship Id="rId14" Type="http://schemas.openxmlformats.org/officeDocument/2006/relationships/hyperlink" Target="https://bulkseedsinternational-it.porkbunlead.workers.dev/ibm/bulkseedsinternational-it-10/tabella-di-confronto-tra-specie-aromatiche-e-microgreens-per-il-banco--970f4bbf.xlsx" TargetMode="External"/><Relationship Id="rId15" Type="http://schemas.openxmlformats.org/officeDocument/2006/relationships/hyperlink" Target="https://bulkseedsinternational-it.porkbunlead.workers.dev/ibm/bulkseedsinternational-it-10/domande-e-risposte-su-come-si-comporta-il-fornitore-dopo-la-verifica-d-ef1dcbc5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